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581AF8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</w:t>
      </w:r>
    </w:p>
    <w:p w:rsidR="00581AF8" w:rsidRPr="00424A6B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16177">
        <w:rPr>
          <w:rFonts w:ascii="Arial" w:hAnsi="Arial" w:cs="Arial"/>
          <w:b/>
          <w:bCs/>
          <w:i/>
          <w:noProof/>
          <w:sz w:val="17"/>
          <w:szCs w:val="17"/>
        </w:rPr>
        <w:t xml:space="preserve"> 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140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140D8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BB6A0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 w:rsidR="00BB6A00"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 xml:space="preserve">твующего на основании </w:t>
      </w:r>
      <w:r w:rsidR="00BB6A00">
        <w:rPr>
          <w:rFonts w:ascii="Arial" w:hAnsi="Arial" w:cs="Arial"/>
          <w:noProof/>
          <w:sz w:val="17"/>
          <w:szCs w:val="17"/>
        </w:rPr>
        <w:t xml:space="preserve">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 w:rsidR="00BB6A00"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76B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3912F1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CA7EB9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433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433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416177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CA7EB9" w:rsidRDefault="0041617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0848C1" w:rsidRDefault="00416177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B52D3A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Default="00B52D3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Pr="00CA7EB9" w:rsidRDefault="00B52D3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4347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Default="00B52D3A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ТМЗ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Pr="006422BE" w:rsidRDefault="00B52D3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Default="00B52D3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54 000</w:t>
            </w:r>
            <w:bookmarkStart w:id="0" w:name="_GoBack"/>
            <w:bookmarkEnd w:id="0"/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Pr="006422BE" w:rsidRDefault="00B52D3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ил ўрганиш учун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, 1 жилд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ил ўрганиш учун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, 2 жилд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тўплами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стандартдан ташєари)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BB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="00376BD9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«Комментарий к Налоговому кодексу РУз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167510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 w:rsidR="00167510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597D4A" w:rsidRDefault="00205BB7" w:rsidP="0016751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167510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67510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212</w:t>
            </w:r>
            <w:r w:rsidR="00205BB7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2662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627" w:rsidRPr="006422BE" w:rsidRDefault="00C26627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100</w:t>
            </w:r>
            <w:r w:rsid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C26627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376BD9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lastRenderedPageBreak/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</w:t>
      </w:r>
      <w:r w:rsidR="00E02A53">
        <w:rPr>
          <w:rFonts w:ascii="Arial" w:hAnsi="Arial" w:cs="Arial"/>
          <w:noProof/>
          <w:color w:val="FF0000"/>
          <w:sz w:val="17"/>
          <w:szCs w:val="17"/>
        </w:rPr>
        <w:t xml:space="preserve"> или ул. Таллимаржан1/1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</w:t>
      </w:r>
      <w:r w:rsidR="00E02A53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г.Ташкент, ул.Таллимаржон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244-89-17, 244-02-01, </w:t>
            </w:r>
            <w:r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283-44-32</w:t>
            </w:r>
            <w:r w:rsidR="00015CB5"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Р/с: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7B0474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50"/>
        <w:gridCol w:w="5137"/>
      </w:tblGrid>
      <w:tr w:rsidR="00042A30" w:rsidRPr="003C1BAB" w:rsidTr="005E2E04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AF2FCF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2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149225</wp:posOffset>
                  </wp:positionV>
                  <wp:extent cx="1457960" cy="1438275"/>
                  <wp:effectExtent l="19050" t="0" r="8890" b="0"/>
                  <wp:wrapNone/>
                  <wp:docPr id="13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  <w:tr w:rsidR="00E542F3" w:rsidRPr="003C1BAB" w:rsidTr="001E445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Default="00042A30" w:rsidP="00465E78">
      <w:pPr>
        <w:rPr>
          <w:rFonts w:ascii="Virtec Times New Roman Uz" w:hAnsi="Virtec Times New Roman Uz"/>
          <w:sz w:val="18"/>
          <w:szCs w:val="18"/>
        </w:rPr>
      </w:pPr>
      <w:r>
        <w:rPr>
          <w:rFonts w:ascii="Virtec Times New Roman Uz" w:hAnsi="Virtec Times New Roman Uz"/>
          <w:sz w:val="18"/>
          <w:szCs w:val="18"/>
        </w:rPr>
        <w:t xml:space="preserve">                                                                      </w:t>
      </w:r>
    </w:p>
    <w:p w:rsidR="00042A30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042A30" w:rsidRPr="003C1BAB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1"/>
    <w:rsid w:val="00012895"/>
    <w:rsid w:val="000129E7"/>
    <w:rsid w:val="00012C0E"/>
    <w:rsid w:val="00015CB5"/>
    <w:rsid w:val="00017680"/>
    <w:rsid w:val="00020C4E"/>
    <w:rsid w:val="00024255"/>
    <w:rsid w:val="00030135"/>
    <w:rsid w:val="00031D03"/>
    <w:rsid w:val="00042A30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A0B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0D83"/>
    <w:rsid w:val="001460B6"/>
    <w:rsid w:val="00152D46"/>
    <w:rsid w:val="0015422C"/>
    <w:rsid w:val="00154E92"/>
    <w:rsid w:val="001559FA"/>
    <w:rsid w:val="00156084"/>
    <w:rsid w:val="00157FF0"/>
    <w:rsid w:val="00160247"/>
    <w:rsid w:val="00167510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D5A7C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006C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76BD9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16177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2A6B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2286"/>
    <w:rsid w:val="004A4080"/>
    <w:rsid w:val="004A50C7"/>
    <w:rsid w:val="004B57DF"/>
    <w:rsid w:val="004B7CC7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1AF8"/>
    <w:rsid w:val="00586675"/>
    <w:rsid w:val="005904CF"/>
    <w:rsid w:val="00597D4A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5F3B49"/>
    <w:rsid w:val="00607886"/>
    <w:rsid w:val="00610598"/>
    <w:rsid w:val="00623A09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3156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474"/>
    <w:rsid w:val="007B068E"/>
    <w:rsid w:val="007B3D5D"/>
    <w:rsid w:val="007B525F"/>
    <w:rsid w:val="007B7DA1"/>
    <w:rsid w:val="007C2BDB"/>
    <w:rsid w:val="007C300B"/>
    <w:rsid w:val="007C3CC1"/>
    <w:rsid w:val="007C5DE9"/>
    <w:rsid w:val="007C65B1"/>
    <w:rsid w:val="007C6D07"/>
    <w:rsid w:val="007D4175"/>
    <w:rsid w:val="007E08A6"/>
    <w:rsid w:val="007E0DC3"/>
    <w:rsid w:val="007E4C77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0A38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13CD8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3BD1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A3017"/>
    <w:rsid w:val="00AA4850"/>
    <w:rsid w:val="00AB7B31"/>
    <w:rsid w:val="00AC164F"/>
    <w:rsid w:val="00AD382B"/>
    <w:rsid w:val="00AD44C2"/>
    <w:rsid w:val="00AD4B2C"/>
    <w:rsid w:val="00AE2FF7"/>
    <w:rsid w:val="00AE4D3A"/>
    <w:rsid w:val="00AF10E1"/>
    <w:rsid w:val="00AF2FCF"/>
    <w:rsid w:val="00AF3573"/>
    <w:rsid w:val="00B01D0B"/>
    <w:rsid w:val="00B31CA8"/>
    <w:rsid w:val="00B33004"/>
    <w:rsid w:val="00B33454"/>
    <w:rsid w:val="00B34BAF"/>
    <w:rsid w:val="00B47A06"/>
    <w:rsid w:val="00B5228F"/>
    <w:rsid w:val="00B52D3A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B6A00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6627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A7EB9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17AC7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041"/>
    <w:rsid w:val="00DB1DD0"/>
    <w:rsid w:val="00DB7930"/>
    <w:rsid w:val="00DC0407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02A53"/>
    <w:rsid w:val="00E11B14"/>
    <w:rsid w:val="00E20D30"/>
    <w:rsid w:val="00E35B85"/>
    <w:rsid w:val="00E44652"/>
    <w:rsid w:val="00E53C22"/>
    <w:rsid w:val="00E542F3"/>
    <w:rsid w:val="00E57DE4"/>
    <w:rsid w:val="00E709A2"/>
    <w:rsid w:val="00E73CA0"/>
    <w:rsid w:val="00E7671E"/>
    <w:rsid w:val="00E76A3C"/>
    <w:rsid w:val="00E7751B"/>
    <w:rsid w:val="00E77C33"/>
    <w:rsid w:val="00E813FA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CC2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42CD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016A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6DEC0"/>
  <w15:docId w15:val="{F2B26211-37B7-4902-99E5-E70CB22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5B61-E49F-40C2-86FD-B3532F77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</Template>
  <TotalTime>2</TotalTime>
  <Pages>2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Akrom</dc:creator>
  <cp:lastModifiedBy>Admin</cp:lastModifiedBy>
  <cp:revision>2</cp:revision>
  <cp:lastPrinted>2019-08-06T06:37:00Z</cp:lastPrinted>
  <dcterms:created xsi:type="dcterms:W3CDTF">2020-07-14T10:39:00Z</dcterms:created>
  <dcterms:modified xsi:type="dcterms:W3CDTF">2020-07-14T10:39:00Z</dcterms:modified>
</cp:coreProperties>
</file>